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4DB6C9" w14:textId="19FDBA6A" w:rsidR="0021611C" w:rsidRDefault="0021611C" w:rsidP="00EB7B4F">
      <w:pPr>
        <w:jc w:val="both"/>
        <w:rPr>
          <w:b/>
          <w:bCs/>
          <w:sz w:val="36"/>
          <w:szCs w:val="36"/>
        </w:rPr>
      </w:pPr>
      <w:r w:rsidRPr="0021611C">
        <w:rPr>
          <w:b/>
          <w:bCs/>
          <w:sz w:val="36"/>
          <w:szCs w:val="36"/>
          <w:highlight w:val="yellow"/>
        </w:rPr>
        <w:t>NISM Series XIX-A: Alternative Investment Funds (Category I and II) Distributors Certification</w:t>
      </w:r>
    </w:p>
    <w:p w14:paraId="632AF752" w14:textId="026A0BB3" w:rsidR="004F1E80" w:rsidRPr="005B6CB2" w:rsidRDefault="00C2523D" w:rsidP="00EB7B4F">
      <w:pPr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5B6CB2">
        <w:rPr>
          <w:rFonts w:ascii="Times New Roman" w:hAnsi="Times New Roman" w:cs="Times New Roman"/>
          <w:b/>
          <w:bCs/>
          <w:color w:val="002060"/>
          <w:sz w:val="24"/>
          <w:szCs w:val="24"/>
        </w:rPr>
        <w:t>Mode of Delivery</w:t>
      </w:r>
      <w:r w:rsidR="004F1E80" w:rsidRPr="005B6CB2">
        <w:rPr>
          <w:rFonts w:ascii="Times New Roman" w:hAnsi="Times New Roman" w:cs="Times New Roman"/>
          <w:color w:val="002060"/>
          <w:sz w:val="24"/>
          <w:szCs w:val="24"/>
        </w:rPr>
        <w:t>: Online Live Interactive</w:t>
      </w:r>
      <w:r w:rsidR="00EB7B4F" w:rsidRPr="005B6CB2">
        <w:rPr>
          <w:rFonts w:ascii="Times New Roman" w:hAnsi="Times New Roman" w:cs="Times New Roman"/>
          <w:color w:val="002060"/>
          <w:sz w:val="24"/>
          <w:szCs w:val="24"/>
        </w:rPr>
        <w:t xml:space="preserve"> </w:t>
      </w:r>
      <w:r w:rsidR="00371882" w:rsidRPr="005B6CB2">
        <w:rPr>
          <w:rFonts w:ascii="Times New Roman" w:hAnsi="Times New Roman" w:cs="Times New Roman"/>
          <w:color w:val="002060"/>
          <w:sz w:val="24"/>
          <w:szCs w:val="24"/>
        </w:rPr>
        <w:t>+</w:t>
      </w:r>
      <w:r w:rsidR="00EB7B4F" w:rsidRPr="005B6CB2">
        <w:rPr>
          <w:rFonts w:ascii="Times New Roman" w:hAnsi="Times New Roman" w:cs="Times New Roman"/>
          <w:color w:val="002060"/>
          <w:sz w:val="24"/>
          <w:szCs w:val="24"/>
        </w:rPr>
        <w:t xml:space="preserve"> </w:t>
      </w:r>
      <w:r w:rsidR="004F1E80" w:rsidRPr="005B6CB2">
        <w:rPr>
          <w:rFonts w:ascii="Times New Roman" w:hAnsi="Times New Roman" w:cs="Times New Roman"/>
          <w:color w:val="002060"/>
          <w:sz w:val="24"/>
          <w:szCs w:val="24"/>
        </w:rPr>
        <w:t>Online Self-paced</w:t>
      </w:r>
      <w:r w:rsidR="00F26788" w:rsidRPr="005B6CB2">
        <w:rPr>
          <w:rFonts w:ascii="Times New Roman" w:hAnsi="Times New Roman" w:cs="Times New Roman"/>
          <w:color w:val="002060"/>
          <w:sz w:val="24"/>
          <w:szCs w:val="24"/>
        </w:rPr>
        <w:t>*</w:t>
      </w:r>
    </w:p>
    <w:p w14:paraId="64C9E07B" w14:textId="359829E6" w:rsidR="00371882" w:rsidRPr="005B6CB2" w:rsidRDefault="00371882" w:rsidP="00EB7B4F">
      <w:pPr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5B6CB2">
        <w:rPr>
          <w:rFonts w:ascii="Times New Roman" w:hAnsi="Times New Roman" w:cs="Times New Roman"/>
          <w:b/>
          <w:bCs/>
          <w:color w:val="002060"/>
          <w:sz w:val="24"/>
          <w:szCs w:val="24"/>
        </w:rPr>
        <w:t>Duration:</w:t>
      </w:r>
      <w:r w:rsidR="002C1BC1">
        <w:rPr>
          <w:rFonts w:ascii="Times New Roman" w:hAnsi="Times New Roman" w:cs="Times New Roman"/>
          <w:color w:val="002060"/>
          <w:sz w:val="24"/>
          <w:szCs w:val="24"/>
        </w:rPr>
        <w:t xml:space="preserve"> </w:t>
      </w:r>
      <w:r w:rsidR="00667867">
        <w:rPr>
          <w:rFonts w:ascii="Times New Roman" w:hAnsi="Times New Roman" w:cs="Times New Roman"/>
          <w:color w:val="002060"/>
          <w:sz w:val="24"/>
          <w:szCs w:val="24"/>
        </w:rPr>
        <w:t>24</w:t>
      </w:r>
      <w:r w:rsidRPr="005B6CB2">
        <w:rPr>
          <w:rFonts w:ascii="Times New Roman" w:hAnsi="Times New Roman" w:cs="Times New Roman"/>
          <w:color w:val="002060"/>
          <w:sz w:val="24"/>
          <w:szCs w:val="24"/>
        </w:rPr>
        <w:t xml:space="preserve"> Hours </w:t>
      </w:r>
    </w:p>
    <w:p w14:paraId="1DFC39B5" w14:textId="77777777" w:rsidR="00A81CA1" w:rsidRPr="00B30859" w:rsidRDefault="00A81CA1" w:rsidP="00A81CA1">
      <w:pPr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bookmarkStart w:id="0" w:name="_Hlk189003568"/>
      <w:r w:rsidRPr="00B30859">
        <w:rPr>
          <w:rFonts w:ascii="Times New Roman" w:hAnsi="Times New Roman" w:cs="Times New Roman"/>
          <w:b/>
          <w:bCs/>
          <w:color w:val="00B050"/>
          <w:sz w:val="24"/>
          <w:szCs w:val="24"/>
        </w:rPr>
        <w:t>Study Materials:</w:t>
      </w:r>
      <w:r w:rsidRPr="00B30859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</w:p>
    <w:p w14:paraId="703E8561" w14:textId="31242B85" w:rsidR="00A81CA1" w:rsidRPr="00B30859" w:rsidRDefault="00A81CA1" w:rsidP="00A81CA1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B30859">
        <w:rPr>
          <w:rFonts w:ascii="Times New Roman" w:hAnsi="Times New Roman" w:cs="Times New Roman"/>
          <w:color w:val="00B050"/>
          <w:sz w:val="24"/>
          <w:szCs w:val="24"/>
        </w:rPr>
        <w:t xml:space="preserve">Recording available of online live sessions </w:t>
      </w:r>
      <w:r>
        <w:rPr>
          <w:rFonts w:ascii="Times New Roman" w:hAnsi="Times New Roman" w:cs="Times New Roman"/>
          <w:color w:val="00B050"/>
          <w:sz w:val="24"/>
          <w:szCs w:val="24"/>
        </w:rPr>
        <w:t>(for 90 days)</w:t>
      </w:r>
    </w:p>
    <w:p w14:paraId="298FD606" w14:textId="77777777" w:rsidR="00A81CA1" w:rsidRPr="00B30859" w:rsidRDefault="00A81CA1" w:rsidP="00A81CA1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B30859">
        <w:rPr>
          <w:rFonts w:ascii="Times New Roman" w:hAnsi="Times New Roman" w:cs="Times New Roman"/>
          <w:color w:val="00B050"/>
          <w:sz w:val="24"/>
          <w:szCs w:val="24"/>
        </w:rPr>
        <w:t>PPTs (</w:t>
      </w:r>
      <w:r>
        <w:rPr>
          <w:rFonts w:ascii="Times New Roman" w:hAnsi="Times New Roman" w:cs="Times New Roman"/>
          <w:color w:val="00B050"/>
          <w:sz w:val="24"/>
          <w:szCs w:val="24"/>
        </w:rPr>
        <w:t>7</w:t>
      </w:r>
      <w:r w:rsidRPr="00B30859">
        <w:rPr>
          <w:rFonts w:ascii="Times New Roman" w:hAnsi="Times New Roman" w:cs="Times New Roman"/>
          <w:color w:val="00B050"/>
          <w:sz w:val="24"/>
          <w:szCs w:val="24"/>
        </w:rPr>
        <w:t xml:space="preserve">00+ Slides) </w:t>
      </w:r>
    </w:p>
    <w:p w14:paraId="0E125A5B" w14:textId="754DF286" w:rsidR="00A81CA1" w:rsidRPr="00B30859" w:rsidRDefault="00A81CA1" w:rsidP="00A81CA1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color w:val="00B050"/>
          <w:sz w:val="24"/>
          <w:szCs w:val="24"/>
        </w:rPr>
        <w:t>8</w:t>
      </w:r>
      <w:r w:rsidRPr="00B30859">
        <w:rPr>
          <w:rFonts w:ascii="Times New Roman" w:hAnsi="Times New Roman" w:cs="Times New Roman"/>
          <w:color w:val="00B050"/>
          <w:sz w:val="24"/>
          <w:szCs w:val="24"/>
        </w:rPr>
        <w:t xml:space="preserve">00+ MCQs </w:t>
      </w:r>
      <w:r>
        <w:rPr>
          <w:rFonts w:ascii="Times New Roman" w:hAnsi="Times New Roman" w:cs="Times New Roman"/>
          <w:color w:val="00B050"/>
          <w:sz w:val="24"/>
          <w:szCs w:val="24"/>
        </w:rPr>
        <w:t xml:space="preserve">and </w:t>
      </w:r>
      <w:r w:rsidRPr="00A81CA1">
        <w:rPr>
          <w:rFonts w:ascii="Times New Roman" w:hAnsi="Times New Roman" w:cs="Times New Roman"/>
          <w:color w:val="00B050"/>
          <w:sz w:val="24"/>
          <w:szCs w:val="24"/>
        </w:rPr>
        <w:t xml:space="preserve">30+ </w:t>
      </w:r>
      <w:r>
        <w:rPr>
          <w:rFonts w:ascii="Times New Roman" w:hAnsi="Times New Roman" w:cs="Times New Roman"/>
          <w:color w:val="00B050"/>
          <w:sz w:val="24"/>
          <w:szCs w:val="24"/>
        </w:rPr>
        <w:t>C</w:t>
      </w:r>
      <w:r w:rsidRPr="00A81CA1">
        <w:rPr>
          <w:rFonts w:ascii="Times New Roman" w:hAnsi="Times New Roman" w:cs="Times New Roman"/>
          <w:color w:val="00B050"/>
          <w:sz w:val="24"/>
          <w:szCs w:val="24"/>
        </w:rPr>
        <w:t xml:space="preserve">ase </w:t>
      </w:r>
      <w:r>
        <w:rPr>
          <w:rFonts w:ascii="Times New Roman" w:hAnsi="Times New Roman" w:cs="Times New Roman"/>
          <w:color w:val="00B050"/>
          <w:sz w:val="24"/>
          <w:szCs w:val="24"/>
        </w:rPr>
        <w:t>S</w:t>
      </w:r>
      <w:r w:rsidRPr="00A81CA1">
        <w:rPr>
          <w:rFonts w:ascii="Times New Roman" w:hAnsi="Times New Roman" w:cs="Times New Roman"/>
          <w:color w:val="00B050"/>
          <w:sz w:val="24"/>
          <w:szCs w:val="24"/>
        </w:rPr>
        <w:t>tudies</w:t>
      </w:r>
    </w:p>
    <w:p w14:paraId="7A8D68D9" w14:textId="1B88DB4F" w:rsidR="00A81CA1" w:rsidRDefault="00A81CA1" w:rsidP="00BB288C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B30859">
        <w:rPr>
          <w:rFonts w:ascii="Times New Roman" w:hAnsi="Times New Roman" w:cs="Times New Roman"/>
          <w:color w:val="00B050"/>
          <w:sz w:val="24"/>
          <w:szCs w:val="24"/>
        </w:rPr>
        <w:t>Quick revision summary</w:t>
      </w:r>
      <w:r>
        <w:rPr>
          <w:rFonts w:ascii="Times New Roman" w:hAnsi="Times New Roman" w:cs="Times New Roman"/>
          <w:color w:val="00B050"/>
          <w:sz w:val="24"/>
          <w:szCs w:val="24"/>
        </w:rPr>
        <w:t xml:space="preserve"> notes</w:t>
      </w:r>
      <w:r w:rsidRPr="00B30859">
        <w:rPr>
          <w:rFonts w:ascii="Times New Roman" w:hAnsi="Times New Roman" w:cs="Times New Roman"/>
          <w:color w:val="00B050"/>
          <w:sz w:val="24"/>
          <w:szCs w:val="24"/>
        </w:rPr>
        <w:t>.</w:t>
      </w:r>
      <w:bookmarkEnd w:id="0"/>
    </w:p>
    <w:p w14:paraId="7A15D504" w14:textId="77777777" w:rsidR="004359B8" w:rsidRPr="00483EA3" w:rsidRDefault="004359B8" w:rsidP="004359B8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5315F7">
        <w:rPr>
          <w:rFonts w:ascii="Times New Roman" w:hAnsi="Times New Roman" w:cs="Times New Roman"/>
          <w:color w:val="00B050"/>
          <w:sz w:val="24"/>
          <w:szCs w:val="24"/>
        </w:rPr>
        <w:t>Career Guidance/Counseling</w:t>
      </w:r>
    </w:p>
    <w:p w14:paraId="2DCF5C7B" w14:textId="77777777" w:rsidR="003D7BA1" w:rsidRPr="003D7BA1" w:rsidRDefault="003D7BA1" w:rsidP="003D7B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bookmarkStart w:id="1" w:name="_Hlk184130050"/>
      <w:r w:rsidRPr="003D7BA1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The </w:t>
      </w:r>
      <w:r w:rsidRPr="003D7BA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NISM Series XIX-A Certification Examination</w:t>
      </w:r>
      <w:r w:rsidRPr="003D7BA1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is designed to establish a knowledge benchmark for individuals working as distributors or placement agents in the domain of Alternative Investment Funds (AIFs).</w:t>
      </w:r>
    </w:p>
    <w:p w14:paraId="071BA34B" w14:textId="77777777" w:rsidR="003D7BA1" w:rsidRPr="003D7BA1" w:rsidRDefault="003D7BA1" w:rsidP="003D7B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3D7BA1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This voluntary certification focuses on Category I and Category II AIFs, enhancing the quality of sales, distribution, and investor services while equipping professionals with a deeper understanding of the AIF industry.</w:t>
      </w:r>
    </w:p>
    <w:p w14:paraId="488677A0" w14:textId="77777777" w:rsidR="002B21CD" w:rsidRDefault="002B21CD" w:rsidP="005B6CB2">
      <w:pPr>
        <w:pStyle w:val="NormalWeb"/>
      </w:pPr>
    </w:p>
    <w:p w14:paraId="14C4F849" w14:textId="6EB3A49F" w:rsidR="005B6CB2" w:rsidRPr="005B6CB2" w:rsidRDefault="005B6CB2" w:rsidP="005B6CB2">
      <w:pPr>
        <w:pStyle w:val="NormalWeb"/>
        <w:rPr>
          <w:b/>
          <w:bCs/>
        </w:rPr>
      </w:pPr>
      <w:r w:rsidRPr="005B6CB2">
        <w:rPr>
          <w:b/>
          <w:bCs/>
          <w:highlight w:val="yellow"/>
        </w:rPr>
        <w:t xml:space="preserve">Upon successful completion of the </w:t>
      </w:r>
      <w:r w:rsidR="00A81CA1">
        <w:rPr>
          <w:b/>
          <w:bCs/>
          <w:highlight w:val="yellow"/>
        </w:rPr>
        <w:t>training</w:t>
      </w:r>
      <w:r w:rsidRPr="005B6CB2">
        <w:rPr>
          <w:b/>
          <w:bCs/>
          <w:highlight w:val="yellow"/>
        </w:rPr>
        <w:t>, candidates will:</w:t>
      </w:r>
    </w:p>
    <w:p w14:paraId="7F496833" w14:textId="77777777" w:rsidR="003D7BA1" w:rsidRPr="003D7BA1" w:rsidRDefault="003D7BA1" w:rsidP="003D7B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3D7BA1">
        <w:rPr>
          <w:rFonts w:ascii="Times New Roman" w:eastAsia="Times New Roman" w:hAnsi="Symbol" w:cs="Times New Roman"/>
          <w:kern w:val="0"/>
          <w:sz w:val="24"/>
          <w:szCs w:val="24"/>
          <w:lang w:val="en-IN" w:eastAsia="en-IN"/>
          <w14:ligatures w14:val="none"/>
        </w:rPr>
        <w:t></w:t>
      </w:r>
      <w:r w:rsidRPr="003D7BA1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 </w:t>
      </w:r>
      <w:r w:rsidRPr="003D7BA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Understand Alternative Investments:</w:t>
      </w:r>
      <w:r w:rsidRPr="003D7BA1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br/>
        <w:t>Develop a foundational understanding of alternative asset classes, their characteristics, and their role in portfolio management.</w:t>
      </w:r>
    </w:p>
    <w:p w14:paraId="3E2F5DE5" w14:textId="77777777" w:rsidR="003D7BA1" w:rsidRPr="003D7BA1" w:rsidRDefault="003D7BA1" w:rsidP="003D7B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3D7BA1">
        <w:rPr>
          <w:rFonts w:ascii="Times New Roman" w:eastAsia="Times New Roman" w:hAnsi="Symbol" w:cs="Times New Roman"/>
          <w:kern w:val="0"/>
          <w:sz w:val="24"/>
          <w:szCs w:val="24"/>
          <w:lang w:val="en-IN" w:eastAsia="en-IN"/>
          <w14:ligatures w14:val="none"/>
        </w:rPr>
        <w:t></w:t>
      </w:r>
      <w:r w:rsidRPr="003D7BA1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 </w:t>
      </w:r>
      <w:r w:rsidRPr="003D7BA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Comprehend AIF Industry Concepts:</w:t>
      </w:r>
      <w:r w:rsidRPr="003D7BA1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br/>
        <w:t>Gain insights into due diligence, investment processes, governance, risk-return dynamics, and fund monitoring.</w:t>
      </w:r>
    </w:p>
    <w:p w14:paraId="3A31ED4A" w14:textId="77777777" w:rsidR="003D7BA1" w:rsidRPr="003D7BA1" w:rsidRDefault="003D7BA1" w:rsidP="003D7B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3D7BA1">
        <w:rPr>
          <w:rFonts w:ascii="Times New Roman" w:eastAsia="Times New Roman" w:hAnsi="Symbol" w:cs="Times New Roman"/>
          <w:kern w:val="0"/>
          <w:sz w:val="24"/>
          <w:szCs w:val="24"/>
          <w:lang w:val="en-IN" w:eastAsia="en-IN"/>
          <w14:ligatures w14:val="none"/>
        </w:rPr>
        <w:t></w:t>
      </w:r>
      <w:r w:rsidRPr="003D7BA1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 </w:t>
      </w:r>
      <w:r w:rsidRPr="003D7BA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Master AIF Regulatory Frameworks:</w:t>
      </w:r>
      <w:r w:rsidRPr="003D7BA1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br/>
        <w:t>Learn about SEBI regulations, FEMA provisions, and the legal environment governing Alternative Investment Funds (AIFs) in India.</w:t>
      </w:r>
    </w:p>
    <w:p w14:paraId="2868F438" w14:textId="77777777" w:rsidR="003D7BA1" w:rsidRPr="003D7BA1" w:rsidRDefault="003D7BA1" w:rsidP="003D7B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3D7BA1">
        <w:rPr>
          <w:rFonts w:ascii="Times New Roman" w:eastAsia="Times New Roman" w:hAnsi="Symbol" w:cs="Times New Roman"/>
          <w:kern w:val="0"/>
          <w:sz w:val="24"/>
          <w:szCs w:val="24"/>
          <w:lang w:val="en-IN" w:eastAsia="en-IN"/>
          <w14:ligatures w14:val="none"/>
        </w:rPr>
        <w:t></w:t>
      </w:r>
      <w:r w:rsidRPr="003D7BA1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 </w:t>
      </w:r>
      <w:r w:rsidRPr="003D7BA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Evaluate Fund Performance and Structuring:</w:t>
      </w:r>
      <w:r w:rsidRPr="003D7BA1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br/>
        <w:t>Understand valuation methodologies, risk metrics, and best practices in fund structuring and performance evaluation.</w:t>
      </w:r>
    </w:p>
    <w:p w14:paraId="5D6DD4FE" w14:textId="77777777" w:rsidR="003D7BA1" w:rsidRPr="003D7BA1" w:rsidRDefault="003D7BA1" w:rsidP="003D7B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3D7BA1">
        <w:rPr>
          <w:rFonts w:ascii="Times New Roman" w:eastAsia="Times New Roman" w:hAnsi="Symbol" w:cs="Times New Roman"/>
          <w:kern w:val="0"/>
          <w:sz w:val="24"/>
          <w:szCs w:val="24"/>
          <w:lang w:val="en-IN" w:eastAsia="en-IN"/>
          <w14:ligatures w14:val="none"/>
        </w:rPr>
        <w:t></w:t>
      </w:r>
      <w:r w:rsidRPr="003D7BA1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 </w:t>
      </w:r>
      <w:r w:rsidRPr="003D7BA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Enhance Distribution and Client Servicing Skills:</w:t>
      </w:r>
      <w:r w:rsidRPr="003D7BA1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br/>
        <w:t>Develop expertise in distributor responsibilities, client interaction, fund due diligence, and legal documentation to deliver investor-focused solutions.</w:t>
      </w:r>
    </w:p>
    <w:p w14:paraId="282F98BA" w14:textId="4202C4EC" w:rsidR="00D8445C" w:rsidRDefault="00D8445C" w:rsidP="002C1BC1">
      <w:pPr>
        <w:pStyle w:val="NormalWeb"/>
        <w:spacing w:before="0" w:beforeAutospacing="0" w:after="0" w:afterAutospacing="0"/>
        <w:rPr>
          <w:rFonts w:hAnsi="Symbol"/>
          <w:lang w:val="en-IN" w:eastAsia="en-IN"/>
        </w:rPr>
      </w:pPr>
    </w:p>
    <w:p w14:paraId="0431CE6E" w14:textId="77777777" w:rsidR="002C1BC1" w:rsidRDefault="002C1BC1" w:rsidP="002C1BC1">
      <w:pPr>
        <w:pStyle w:val="NormalWeb"/>
        <w:spacing w:before="0" w:beforeAutospacing="0" w:after="0" w:afterAutospacing="0"/>
        <w:rPr>
          <w:rFonts w:hAnsi="Symbol"/>
          <w:lang w:val="en-IN" w:eastAsia="en-IN"/>
        </w:rPr>
      </w:pPr>
    </w:p>
    <w:p w14:paraId="05C8FD46" w14:textId="77777777" w:rsidR="002C1BC1" w:rsidRDefault="002C1BC1" w:rsidP="002C1BC1">
      <w:pPr>
        <w:pStyle w:val="NormalWeb"/>
        <w:spacing w:before="0" w:beforeAutospacing="0" w:after="0" w:afterAutospacing="0"/>
        <w:rPr>
          <w:rFonts w:hAnsi="Symbol"/>
          <w:lang w:val="en-IN" w:eastAsia="en-IN"/>
        </w:rPr>
      </w:pPr>
    </w:p>
    <w:p w14:paraId="0AA91976" w14:textId="77777777" w:rsidR="002C1BC1" w:rsidRPr="005B6CB2" w:rsidRDefault="002C1BC1" w:rsidP="002C1BC1">
      <w:pPr>
        <w:pStyle w:val="NormalWeb"/>
        <w:spacing w:before="0" w:beforeAutospacing="0" w:after="0" w:afterAutospacing="0"/>
      </w:pPr>
    </w:p>
    <w:p w14:paraId="38877908" w14:textId="77777777" w:rsidR="00D73EB5" w:rsidRPr="005B6CB2" w:rsidRDefault="00D73EB5" w:rsidP="00D73EB5">
      <w:pPr>
        <w:pStyle w:val="NormalWeb"/>
        <w:spacing w:before="0" w:beforeAutospacing="0" w:after="0" w:afterAutospacing="0"/>
        <w:rPr>
          <w:b/>
        </w:rPr>
      </w:pPr>
      <w:r w:rsidRPr="005B6CB2">
        <w:rPr>
          <w:b/>
        </w:rPr>
        <w:t>Assessment Details:</w:t>
      </w:r>
    </w:p>
    <w:p w14:paraId="403AED4A" w14:textId="31B0EF79" w:rsidR="00D73EB5" w:rsidRDefault="0092739B" w:rsidP="00B32F0B">
      <w:pPr>
        <w:pStyle w:val="NormalWeb"/>
        <w:numPr>
          <w:ilvl w:val="0"/>
          <w:numId w:val="7"/>
        </w:numPr>
        <w:spacing w:before="0" w:beforeAutospacing="0" w:after="0" w:afterAutospacing="0"/>
      </w:pPr>
      <w:r>
        <w:t>100</w:t>
      </w:r>
      <w:r w:rsidR="00D73EB5" w:rsidRPr="005B6CB2">
        <w:t xml:space="preserve"> Multip</w:t>
      </w:r>
      <w:r w:rsidR="00CD773D">
        <w:t>le Choice Questions</w:t>
      </w:r>
    </w:p>
    <w:p w14:paraId="3E4A4E0E" w14:textId="7793C565" w:rsidR="00CD773D" w:rsidRPr="00CD773D" w:rsidRDefault="00CD773D" w:rsidP="00CD773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CD773D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80 multiple-choice questions (1 mark each).</w:t>
      </w:r>
    </w:p>
    <w:p w14:paraId="39C03B9B" w14:textId="2A9BBE95" w:rsidR="00CD773D" w:rsidRPr="005B6CB2" w:rsidRDefault="00CD773D" w:rsidP="00CD773D">
      <w:pPr>
        <w:pStyle w:val="NormalWeb"/>
        <w:numPr>
          <w:ilvl w:val="0"/>
          <w:numId w:val="11"/>
        </w:numPr>
        <w:spacing w:before="0" w:beforeAutospacing="0" w:after="0" w:afterAutospacing="0"/>
      </w:pPr>
      <w:r w:rsidRPr="00CD773D">
        <w:rPr>
          <w:lang w:val="en-IN" w:eastAsia="en-IN"/>
        </w:rPr>
        <w:t>5 case-based questions, each with 4 multiple-choice sub-questions (1 mark each).</w:t>
      </w:r>
    </w:p>
    <w:p w14:paraId="43DD02B0" w14:textId="77777777" w:rsidR="00D73EB5" w:rsidRPr="005B6CB2" w:rsidRDefault="00D73EB5" w:rsidP="00B32F0B">
      <w:pPr>
        <w:pStyle w:val="NormalWeb"/>
        <w:numPr>
          <w:ilvl w:val="0"/>
          <w:numId w:val="7"/>
        </w:numPr>
        <w:spacing w:before="0" w:beforeAutospacing="0" w:after="0" w:afterAutospacing="0"/>
      </w:pPr>
      <w:r w:rsidRPr="005B6CB2">
        <w:t>Total Marks: 100</w:t>
      </w:r>
    </w:p>
    <w:p w14:paraId="10BCF4FB" w14:textId="77777777" w:rsidR="00D73EB5" w:rsidRPr="005B6CB2" w:rsidRDefault="00D73EB5" w:rsidP="00B32F0B">
      <w:pPr>
        <w:pStyle w:val="NormalWeb"/>
        <w:numPr>
          <w:ilvl w:val="0"/>
          <w:numId w:val="7"/>
        </w:numPr>
        <w:spacing w:before="0" w:beforeAutospacing="0" w:after="0" w:afterAutospacing="0"/>
      </w:pPr>
      <w:r w:rsidRPr="005B6CB2">
        <w:t>Duration: 2 Hours</w:t>
      </w:r>
    </w:p>
    <w:p w14:paraId="3C0EE8E5" w14:textId="5C0AD4F3" w:rsidR="00D73EB5" w:rsidRPr="005B6CB2" w:rsidRDefault="00D8445C" w:rsidP="00B32F0B">
      <w:pPr>
        <w:pStyle w:val="NormalWeb"/>
        <w:numPr>
          <w:ilvl w:val="0"/>
          <w:numId w:val="7"/>
        </w:numPr>
        <w:spacing w:before="0" w:beforeAutospacing="0" w:after="0" w:afterAutospacing="0"/>
      </w:pPr>
      <w:r>
        <w:t>Passing Score: 60</w:t>
      </w:r>
      <w:r w:rsidR="00D73EB5" w:rsidRPr="005B6CB2">
        <w:t>%</w:t>
      </w:r>
    </w:p>
    <w:p w14:paraId="23097D5F" w14:textId="77777777" w:rsidR="00D73EB5" w:rsidRDefault="00D73EB5" w:rsidP="00B32F0B">
      <w:pPr>
        <w:pStyle w:val="NormalWeb"/>
        <w:numPr>
          <w:ilvl w:val="0"/>
          <w:numId w:val="7"/>
        </w:numPr>
        <w:spacing w:before="0" w:beforeAutospacing="0" w:after="0" w:afterAutospacing="0"/>
      </w:pPr>
      <w:r w:rsidRPr="005B6CB2">
        <w:t>Negative Marking: 25% of marks assigned per incorrect answer</w:t>
      </w:r>
    </w:p>
    <w:p w14:paraId="68F4ED4D" w14:textId="466B7394" w:rsidR="004F610A" w:rsidRPr="004F610A" w:rsidRDefault="004F610A" w:rsidP="004F610A">
      <w:pPr>
        <w:ind w:left="360"/>
        <w:jc w:val="both"/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</w:pPr>
      <w:r w:rsidRPr="004F610A">
        <w:rPr>
          <w:rFonts w:ascii="Times New Roman" w:eastAsia="Times New Roman" w:hAnsi="Symbol" w:cs="Times New Roman"/>
          <w:kern w:val="0"/>
          <w:sz w:val="24"/>
          <w:szCs w:val="24"/>
          <w:lang w:val="en-IN" w:eastAsia="en-IN"/>
          <w14:ligatures w14:val="none"/>
        </w:rPr>
        <w:t></w:t>
      </w:r>
      <w:r w:rsidRPr="004F610A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</w:t>
      </w:r>
      <w:r w:rsidR="00A8716D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  </w:t>
      </w:r>
      <w:r w:rsidRPr="004F610A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Certificate Validity: 3 years</w:t>
      </w:r>
    </w:p>
    <w:p w14:paraId="487FC6A8" w14:textId="77777777" w:rsidR="004F610A" w:rsidRPr="005B6CB2" w:rsidRDefault="004F610A" w:rsidP="004F610A">
      <w:pPr>
        <w:pStyle w:val="NormalWeb"/>
        <w:spacing w:before="0" w:beforeAutospacing="0" w:after="0" w:afterAutospacing="0"/>
        <w:ind w:left="720"/>
      </w:pPr>
    </w:p>
    <w:p w14:paraId="17A00E03" w14:textId="77777777" w:rsidR="0000363E" w:rsidRPr="005B6CB2" w:rsidRDefault="0000363E" w:rsidP="0000363E">
      <w:pPr>
        <w:jc w:val="both"/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</w:pPr>
    </w:p>
    <w:p w14:paraId="051A4C54" w14:textId="7CBF64E3" w:rsidR="002B21CD" w:rsidRPr="00A81CA1" w:rsidRDefault="0000363E" w:rsidP="00A81CA1">
      <w:pPr>
        <w:jc w:val="both"/>
        <w:rPr>
          <w:rFonts w:ascii="Times New Roman" w:eastAsia="Times New Roman" w:hAnsi="Times New Roman" w:cs="Times New Roman"/>
          <w:color w:val="C00000"/>
          <w:kern w:val="0"/>
          <w:sz w:val="18"/>
          <w:szCs w:val="18"/>
          <w14:ligatures w14:val="none"/>
        </w:rPr>
      </w:pPr>
      <w:r w:rsidRPr="005B6CB2">
        <w:rPr>
          <w:rFonts w:ascii="Times New Roman" w:eastAsia="Times New Roman" w:hAnsi="Times New Roman" w:cs="Times New Roman"/>
          <w:b/>
          <w:bCs/>
          <w:color w:val="C00000"/>
          <w:kern w:val="0"/>
          <w:sz w:val="18"/>
          <w:szCs w:val="18"/>
          <w14:ligatures w14:val="none"/>
        </w:rPr>
        <w:t>*</w:t>
      </w:r>
      <w:r w:rsidRPr="005B6CB2">
        <w:rPr>
          <w:rFonts w:ascii="Times New Roman" w:eastAsia="Times New Roman" w:hAnsi="Times New Roman" w:cs="Times New Roman"/>
          <w:color w:val="C00000"/>
          <w:kern w:val="0"/>
          <w:sz w:val="18"/>
          <w:szCs w:val="18"/>
          <w14:ligatures w14:val="none"/>
        </w:rPr>
        <w:t xml:space="preserve"> Online Self-paced contents access will be provided for 90 days to the user only.</w:t>
      </w:r>
      <w:bookmarkEnd w:id="1"/>
    </w:p>
    <w:p w14:paraId="32679AFC" w14:textId="1602B4F7" w:rsidR="00F034CD" w:rsidRPr="005B6CB2" w:rsidRDefault="00E259DC" w:rsidP="001B3020">
      <w:pPr>
        <w:pStyle w:val="NormalWeb"/>
        <w:rPr>
          <w:b/>
          <w:bCs/>
          <w:color w:val="C00000"/>
        </w:rPr>
      </w:pPr>
      <w:r w:rsidRPr="005B6CB2">
        <w:rPr>
          <w:b/>
          <w:bCs/>
          <w:color w:val="C00000"/>
          <w:highlight w:val="yellow"/>
        </w:rPr>
        <w:t>Test</w:t>
      </w:r>
      <w:r w:rsidR="001B3020" w:rsidRPr="005B6CB2">
        <w:rPr>
          <w:b/>
          <w:bCs/>
          <w:color w:val="C00000"/>
          <w:highlight w:val="yellow"/>
        </w:rPr>
        <w:t xml:space="preserve"> Objectives:</w:t>
      </w:r>
    </w:p>
    <w:p w14:paraId="1F184BD4" w14:textId="1FFF1B0C" w:rsidR="005B6CB2" w:rsidRPr="005B6CB2" w:rsidRDefault="005B6CB2" w:rsidP="005B6CB2">
      <w:pPr>
        <w:pStyle w:val="NormalWeb"/>
      </w:pPr>
      <w:r w:rsidRPr="005B6CB2">
        <w:t>Upon passing the examination, candidates will:</w:t>
      </w:r>
    </w:p>
    <w:p w14:paraId="725E7E82" w14:textId="77777777" w:rsidR="005952BC" w:rsidRPr="003D7BA1" w:rsidRDefault="005952BC" w:rsidP="005952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3D7BA1">
        <w:rPr>
          <w:rFonts w:ascii="Times New Roman" w:eastAsia="Times New Roman" w:hAnsi="Symbol" w:cs="Times New Roman"/>
          <w:kern w:val="0"/>
          <w:sz w:val="24"/>
          <w:szCs w:val="24"/>
          <w:lang w:val="en-IN" w:eastAsia="en-IN"/>
          <w14:ligatures w14:val="none"/>
        </w:rPr>
        <w:t></w:t>
      </w:r>
      <w:r w:rsidRPr="003D7BA1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 </w:t>
      </w:r>
      <w:r w:rsidRPr="003D7BA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Understand Alternative Investments:</w:t>
      </w:r>
      <w:r w:rsidRPr="003D7BA1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br/>
        <w:t>Develop a foundational understanding of alternative asset classes, their characteristics, and their role in portfolio management.</w:t>
      </w:r>
    </w:p>
    <w:p w14:paraId="2E283F8F" w14:textId="77777777" w:rsidR="005952BC" w:rsidRPr="003D7BA1" w:rsidRDefault="005952BC" w:rsidP="005952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3D7BA1">
        <w:rPr>
          <w:rFonts w:ascii="Times New Roman" w:eastAsia="Times New Roman" w:hAnsi="Symbol" w:cs="Times New Roman"/>
          <w:kern w:val="0"/>
          <w:sz w:val="24"/>
          <w:szCs w:val="24"/>
          <w:lang w:val="en-IN" w:eastAsia="en-IN"/>
          <w14:ligatures w14:val="none"/>
        </w:rPr>
        <w:t></w:t>
      </w:r>
      <w:r w:rsidRPr="003D7BA1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 </w:t>
      </w:r>
      <w:r w:rsidRPr="003D7BA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Comprehend AIF Industry Concepts:</w:t>
      </w:r>
      <w:r w:rsidRPr="003D7BA1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br/>
        <w:t>Gain insights into due diligence, investment processes, governance, risk-return dynamics, and fund monitoring.</w:t>
      </w:r>
    </w:p>
    <w:p w14:paraId="591B0E04" w14:textId="77777777" w:rsidR="005952BC" w:rsidRPr="003D7BA1" w:rsidRDefault="005952BC" w:rsidP="005952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3D7BA1">
        <w:rPr>
          <w:rFonts w:ascii="Times New Roman" w:eastAsia="Times New Roman" w:hAnsi="Symbol" w:cs="Times New Roman"/>
          <w:kern w:val="0"/>
          <w:sz w:val="24"/>
          <w:szCs w:val="24"/>
          <w:lang w:val="en-IN" w:eastAsia="en-IN"/>
          <w14:ligatures w14:val="none"/>
        </w:rPr>
        <w:t></w:t>
      </w:r>
      <w:r w:rsidRPr="003D7BA1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 </w:t>
      </w:r>
      <w:r w:rsidRPr="003D7BA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Master AIF Regulatory Frameworks:</w:t>
      </w:r>
      <w:r w:rsidRPr="003D7BA1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br/>
        <w:t>Learn about SEBI regulations, FEMA provisions, and the legal environment governing Alternative Investment Funds (AIFs) in India.</w:t>
      </w:r>
    </w:p>
    <w:p w14:paraId="7DF58AB6" w14:textId="77777777" w:rsidR="005952BC" w:rsidRPr="003D7BA1" w:rsidRDefault="005952BC" w:rsidP="005952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3D7BA1">
        <w:rPr>
          <w:rFonts w:ascii="Times New Roman" w:eastAsia="Times New Roman" w:hAnsi="Symbol" w:cs="Times New Roman"/>
          <w:kern w:val="0"/>
          <w:sz w:val="24"/>
          <w:szCs w:val="24"/>
          <w:lang w:val="en-IN" w:eastAsia="en-IN"/>
          <w14:ligatures w14:val="none"/>
        </w:rPr>
        <w:t></w:t>
      </w:r>
      <w:r w:rsidRPr="003D7BA1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 </w:t>
      </w:r>
      <w:r w:rsidRPr="003D7BA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Evaluate Fund Performance and Structuring:</w:t>
      </w:r>
      <w:r w:rsidRPr="003D7BA1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br/>
        <w:t>Understand valuation methodologies, risk metrics, and best practices in fund structuring and performance evaluation.</w:t>
      </w:r>
    </w:p>
    <w:p w14:paraId="4FD77176" w14:textId="77777777" w:rsidR="005952BC" w:rsidRPr="003D7BA1" w:rsidRDefault="005952BC" w:rsidP="005952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3D7BA1">
        <w:rPr>
          <w:rFonts w:ascii="Times New Roman" w:eastAsia="Times New Roman" w:hAnsi="Symbol" w:cs="Times New Roman"/>
          <w:kern w:val="0"/>
          <w:sz w:val="24"/>
          <w:szCs w:val="24"/>
          <w:lang w:val="en-IN" w:eastAsia="en-IN"/>
          <w14:ligatures w14:val="none"/>
        </w:rPr>
        <w:t></w:t>
      </w:r>
      <w:r w:rsidRPr="003D7BA1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 </w:t>
      </w:r>
      <w:r w:rsidRPr="003D7BA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Enhance Distribution and Client Servicing Skills:</w:t>
      </w:r>
      <w:r w:rsidRPr="003D7BA1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br/>
        <w:t>Develop expertise in distributor responsibilities, client interaction, fund due diligence, and legal documentation to deliver investor-focused solutions.</w:t>
      </w:r>
    </w:p>
    <w:p w14:paraId="11B9C738" w14:textId="77777777" w:rsidR="00B4422D" w:rsidRDefault="00B4422D" w:rsidP="00B4422D">
      <w:pPr>
        <w:pStyle w:val="NormalWeb"/>
        <w:spacing w:before="0" w:beforeAutospacing="0" w:after="0" w:afterAutospacing="0"/>
        <w:rPr>
          <w:rFonts w:hAnsi="Symbol"/>
          <w:lang w:val="en-IN" w:eastAsia="en-IN"/>
        </w:rPr>
      </w:pPr>
    </w:p>
    <w:p w14:paraId="4A03FDCB" w14:textId="77777777" w:rsidR="00D8445C" w:rsidRPr="005B6CB2" w:rsidRDefault="00D8445C" w:rsidP="00D8445C">
      <w:pPr>
        <w:pStyle w:val="NormalWeb"/>
        <w:spacing w:before="0" w:beforeAutospacing="0" w:after="0" w:afterAutospacing="0"/>
      </w:pPr>
    </w:p>
    <w:p w14:paraId="780B267A" w14:textId="525405BF" w:rsidR="001B3020" w:rsidRPr="005B6CB2" w:rsidRDefault="001B3020" w:rsidP="001B3020">
      <w:pPr>
        <w:pStyle w:val="NormalWeb"/>
        <w:rPr>
          <w:b/>
          <w:bCs/>
          <w:color w:val="C00000"/>
        </w:rPr>
      </w:pPr>
      <w:r w:rsidRPr="005B6CB2">
        <w:rPr>
          <w:b/>
          <w:bCs/>
          <w:color w:val="C00000"/>
          <w:highlight w:val="yellow"/>
        </w:rPr>
        <w:t>Course Details:</w:t>
      </w:r>
    </w:p>
    <w:p w14:paraId="7B86C53D" w14:textId="6A86E314" w:rsidR="001B3020" w:rsidRPr="005B6CB2" w:rsidRDefault="001B3020" w:rsidP="00B32F0B">
      <w:pPr>
        <w:pStyle w:val="NormalWeb"/>
        <w:numPr>
          <w:ilvl w:val="0"/>
          <w:numId w:val="6"/>
        </w:numPr>
        <w:spacing w:before="0" w:beforeAutospacing="0" w:after="0" w:afterAutospacing="0"/>
      </w:pPr>
      <w:r w:rsidRPr="005B6CB2">
        <w:lastRenderedPageBreak/>
        <w:t xml:space="preserve"> NISM exam registration fees not included in the above mention Course Fee. </w:t>
      </w:r>
    </w:p>
    <w:p w14:paraId="654DAB85" w14:textId="23272231" w:rsidR="001B3020" w:rsidRPr="005B6CB2" w:rsidRDefault="001B3020" w:rsidP="00B32F0B">
      <w:pPr>
        <w:pStyle w:val="NormalWeb"/>
        <w:numPr>
          <w:ilvl w:val="0"/>
          <w:numId w:val="6"/>
        </w:numPr>
        <w:spacing w:before="0" w:beforeAutospacing="0" w:after="0" w:afterAutospacing="0"/>
      </w:pPr>
      <w:r w:rsidRPr="005B6CB2">
        <w:t xml:space="preserve"> </w:t>
      </w:r>
      <w:r w:rsidR="00B4422D">
        <w:t>PPTs (</w:t>
      </w:r>
      <w:r w:rsidR="00A81CA1">
        <w:t>7</w:t>
      </w:r>
      <w:r w:rsidR="007A43A6" w:rsidRPr="005B6CB2">
        <w:t xml:space="preserve">00+ Slides), </w:t>
      </w:r>
      <w:r w:rsidR="00A81CA1">
        <w:t>8</w:t>
      </w:r>
      <w:r w:rsidR="005952BC">
        <w:t xml:space="preserve">00+ MCQs, </w:t>
      </w:r>
      <w:bookmarkStart w:id="2" w:name="_Hlk189007072"/>
      <w:r w:rsidR="00A81CA1">
        <w:t>3</w:t>
      </w:r>
      <w:r w:rsidR="005952BC">
        <w:t>0</w:t>
      </w:r>
      <w:r w:rsidR="00A81CA1">
        <w:t>+</w:t>
      </w:r>
      <w:r w:rsidR="005952BC">
        <w:t xml:space="preserve"> case studies </w:t>
      </w:r>
      <w:bookmarkEnd w:id="2"/>
      <w:r w:rsidR="00595372" w:rsidRPr="005B6CB2">
        <w:t xml:space="preserve">and </w:t>
      </w:r>
      <w:r w:rsidR="002B21CD">
        <w:t xml:space="preserve">PDFs </w:t>
      </w:r>
      <w:r w:rsidRPr="005B6CB2">
        <w:t xml:space="preserve">for practice (mock exams &amp; mock paper shared for self-practice). </w:t>
      </w:r>
    </w:p>
    <w:p w14:paraId="49F6FA6D" w14:textId="05893634" w:rsidR="001B3020" w:rsidRPr="005B6CB2" w:rsidRDefault="001B3020" w:rsidP="00B32F0B">
      <w:pPr>
        <w:pStyle w:val="NormalWeb"/>
        <w:numPr>
          <w:ilvl w:val="0"/>
          <w:numId w:val="6"/>
        </w:numPr>
        <w:spacing w:before="0" w:beforeAutospacing="0" w:after="0" w:afterAutospacing="0"/>
      </w:pPr>
      <w:r w:rsidRPr="005B6CB2">
        <w:t xml:space="preserve"> Sessions would cover doubt solving from the Mock Exams. </w:t>
      </w:r>
    </w:p>
    <w:p w14:paraId="7F0444AA" w14:textId="2BAA1F5B" w:rsidR="001B3020" w:rsidRDefault="001B3020" w:rsidP="00B32F0B">
      <w:pPr>
        <w:pStyle w:val="NormalWeb"/>
        <w:numPr>
          <w:ilvl w:val="0"/>
          <w:numId w:val="6"/>
        </w:numPr>
        <w:spacing w:before="0" w:beforeAutospacing="0" w:after="0" w:afterAutospacing="0"/>
      </w:pPr>
      <w:r w:rsidRPr="005B6CB2">
        <w:t>Online Interactive Session for the practice on software’s required in particular module</w:t>
      </w:r>
    </w:p>
    <w:p w14:paraId="43A6057A" w14:textId="77777777" w:rsidR="00D8445C" w:rsidRPr="005B6CB2" w:rsidRDefault="00D8445C" w:rsidP="00D8445C">
      <w:pPr>
        <w:pStyle w:val="NormalWeb"/>
        <w:spacing w:before="0" w:beforeAutospacing="0" w:after="0" w:afterAutospacing="0"/>
        <w:ind w:left="644"/>
      </w:pPr>
    </w:p>
    <w:p w14:paraId="0EF90ACB" w14:textId="77777777" w:rsidR="00C2523D" w:rsidRPr="005B6CB2" w:rsidRDefault="00C2523D" w:rsidP="00A66781">
      <w:pPr>
        <w:pStyle w:val="NormalWeb"/>
        <w:spacing w:before="0" w:beforeAutospacing="0" w:after="0" w:afterAutospacing="0"/>
        <w:ind w:left="720"/>
      </w:pPr>
    </w:p>
    <w:p w14:paraId="50B75D04" w14:textId="5FF7A0C0" w:rsidR="001F081D" w:rsidRPr="005B6CB2" w:rsidRDefault="00B436C0" w:rsidP="001F081D">
      <w:pPr>
        <w:pStyle w:val="NormalWeb"/>
        <w:spacing w:before="0" w:beforeAutospacing="0" w:after="0" w:afterAutospacing="0"/>
        <w:rPr>
          <w:b/>
          <w:bCs/>
          <w:color w:val="C00000"/>
        </w:rPr>
      </w:pPr>
      <w:r w:rsidRPr="005B6CB2">
        <w:rPr>
          <w:b/>
          <w:bCs/>
          <w:color w:val="C00000"/>
          <w:highlight w:val="yellow"/>
        </w:rPr>
        <w:t>Eligibility:</w:t>
      </w:r>
    </w:p>
    <w:p w14:paraId="2578395F" w14:textId="1FA74186" w:rsidR="001F081D" w:rsidRDefault="001F081D" w:rsidP="001F081D">
      <w:pPr>
        <w:pStyle w:val="NormalWeb"/>
      </w:pPr>
      <w:r w:rsidRPr="005B6CB2">
        <w:t xml:space="preserve">The </w:t>
      </w:r>
      <w:r w:rsidR="005952BC">
        <w:t xml:space="preserve">NISM Series XIX-A: Alternative Investment Funds (Category I and II) Distributors Certification </w:t>
      </w:r>
      <w:r w:rsidR="00B4422D" w:rsidRPr="00B4422D">
        <w:t>Examination</w:t>
      </w:r>
      <w:r w:rsidR="005952BC">
        <w:t xml:space="preserve"> </w:t>
      </w:r>
      <w:r w:rsidRPr="005B6CB2">
        <w:t>is suitable for:</w:t>
      </w:r>
    </w:p>
    <w:p w14:paraId="6542C87E" w14:textId="77777777" w:rsidR="005952BC" w:rsidRPr="005952BC" w:rsidRDefault="005952BC" w:rsidP="005952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5952BC">
        <w:rPr>
          <w:rFonts w:ascii="Times New Roman" w:eastAsia="Times New Roman" w:hAnsi="Symbol" w:cs="Times New Roman"/>
          <w:kern w:val="0"/>
          <w:sz w:val="24"/>
          <w:szCs w:val="24"/>
          <w:lang w:val="en-IN" w:eastAsia="en-IN"/>
          <w14:ligatures w14:val="none"/>
        </w:rPr>
        <w:t></w:t>
      </w:r>
      <w:r w:rsidRPr="005952B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 </w:t>
      </w:r>
      <w:r w:rsidRPr="005952B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Associated Professionals:</w:t>
      </w:r>
    </w:p>
    <w:p w14:paraId="4E1280AF" w14:textId="77777777" w:rsidR="005952BC" w:rsidRPr="005952BC" w:rsidRDefault="005952BC" w:rsidP="005952BC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5952B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Distributors and placement agents working with Alternative Investment Funds in India.</w:t>
      </w:r>
    </w:p>
    <w:p w14:paraId="36DF9D88" w14:textId="77777777" w:rsidR="005952BC" w:rsidRPr="005952BC" w:rsidRDefault="005952BC" w:rsidP="005952BC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5952B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Employees of SEBI-registered entities involved in AIF sales, distribution, and compliance functions.</w:t>
      </w:r>
    </w:p>
    <w:p w14:paraId="3BAB29B9" w14:textId="77777777" w:rsidR="005952BC" w:rsidRPr="005952BC" w:rsidRDefault="005952BC" w:rsidP="005952BC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5952B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Professionals handling investor servicing, fund structuring, or governance aspects of AIFs.</w:t>
      </w:r>
    </w:p>
    <w:p w14:paraId="306C6457" w14:textId="77777777" w:rsidR="005952BC" w:rsidRPr="005952BC" w:rsidRDefault="005952BC" w:rsidP="005952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5952BC">
        <w:rPr>
          <w:rFonts w:ascii="Times New Roman" w:eastAsia="Times New Roman" w:hAnsi="Symbol" w:cs="Times New Roman"/>
          <w:kern w:val="0"/>
          <w:sz w:val="24"/>
          <w:szCs w:val="24"/>
          <w:lang w:val="en-IN" w:eastAsia="en-IN"/>
          <w14:ligatures w14:val="none"/>
        </w:rPr>
        <w:t></w:t>
      </w:r>
      <w:r w:rsidRPr="005952B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 </w:t>
      </w:r>
      <w:r w:rsidRPr="005952B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Aspiring Individuals:</w:t>
      </w:r>
    </w:p>
    <w:p w14:paraId="4952380B" w14:textId="77777777" w:rsidR="005952BC" w:rsidRPr="005952BC" w:rsidRDefault="005952BC" w:rsidP="005952B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5952B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Candidates pursuing 10th, 12th, undergraduate, or postgraduate studies with an interest in alternative investments and financial markets.</w:t>
      </w:r>
    </w:p>
    <w:p w14:paraId="723CE10C" w14:textId="77777777" w:rsidR="005952BC" w:rsidRPr="005952BC" w:rsidRDefault="005952BC" w:rsidP="005952B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5952B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Financial advisors, wealth managers, and portfolio managers seeking specialization in AIFs.</w:t>
      </w:r>
    </w:p>
    <w:p w14:paraId="24928E82" w14:textId="77777777" w:rsidR="005952BC" w:rsidRPr="005952BC" w:rsidRDefault="005952BC" w:rsidP="005952B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5952B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Individuals aiming to deepen their understanding of fund distribution, valuation, and client-focused solutions.</w:t>
      </w:r>
    </w:p>
    <w:p w14:paraId="1D1C6D68" w14:textId="77777777" w:rsidR="00D8445C" w:rsidRDefault="00D8445C" w:rsidP="001F081D">
      <w:pPr>
        <w:pStyle w:val="Heading3"/>
        <w:rPr>
          <w:rFonts w:ascii="Times New Roman" w:eastAsia="Times New Roman" w:hAnsi="Times New Roman" w:cs="Times New Roman"/>
          <w:color w:val="C00000"/>
          <w:kern w:val="0"/>
          <w:sz w:val="28"/>
          <w:szCs w:val="28"/>
          <w:highlight w:val="yellow"/>
          <w14:ligatures w14:val="none"/>
        </w:rPr>
      </w:pPr>
    </w:p>
    <w:p w14:paraId="4A7ACECC" w14:textId="77777777" w:rsidR="00EE1D61" w:rsidRDefault="00EE1D61" w:rsidP="00EE1D61">
      <w:pPr>
        <w:rPr>
          <w:highlight w:val="yellow"/>
        </w:rPr>
      </w:pPr>
    </w:p>
    <w:p w14:paraId="645C34E9" w14:textId="77777777" w:rsidR="00EE1D61" w:rsidRPr="00EE1D61" w:rsidRDefault="00EE1D61" w:rsidP="00EE1D61">
      <w:pPr>
        <w:rPr>
          <w:highlight w:val="yellow"/>
        </w:rPr>
      </w:pPr>
    </w:p>
    <w:p w14:paraId="343650C3" w14:textId="77777777" w:rsidR="005952BC" w:rsidRDefault="001F081D" w:rsidP="005952BC">
      <w:pPr>
        <w:pStyle w:val="Heading3"/>
        <w:rPr>
          <w:rFonts w:ascii="Times New Roman" w:eastAsia="Times New Roman" w:hAnsi="Times New Roman" w:cs="Times New Roman"/>
          <w:color w:val="C00000"/>
          <w:kern w:val="0"/>
          <w:sz w:val="28"/>
          <w:szCs w:val="28"/>
          <w:lang w:val="en-IN"/>
          <w14:ligatures w14:val="none"/>
        </w:rPr>
      </w:pPr>
      <w:r w:rsidRPr="005B6CB2">
        <w:rPr>
          <w:rFonts w:ascii="Times New Roman" w:eastAsia="Times New Roman" w:hAnsi="Times New Roman" w:cs="Times New Roman"/>
          <w:color w:val="C00000"/>
          <w:kern w:val="0"/>
          <w:sz w:val="28"/>
          <w:szCs w:val="28"/>
          <w:highlight w:val="yellow"/>
          <w14:ligatures w14:val="none"/>
        </w:rPr>
        <w:t xml:space="preserve">Curriculum Overview: </w:t>
      </w:r>
      <w:r w:rsidR="005952BC" w:rsidRPr="005952BC">
        <w:rPr>
          <w:rFonts w:ascii="Times New Roman" w:eastAsia="Times New Roman" w:hAnsi="Times New Roman" w:cs="Times New Roman"/>
          <w:color w:val="C00000"/>
          <w:kern w:val="0"/>
          <w:sz w:val="28"/>
          <w:szCs w:val="28"/>
          <w:highlight w:val="yellow"/>
          <w14:ligatures w14:val="none"/>
        </w:rPr>
        <w:t>NISM Series XIX-A: Alternative Investment Funds (Category I and II) Distributors Certification Examination</w:t>
      </w:r>
      <w:r w:rsidR="005952BC" w:rsidRPr="005952BC">
        <w:rPr>
          <w:rFonts w:ascii="Times New Roman" w:eastAsia="Times New Roman" w:hAnsi="Times New Roman" w:cs="Times New Roman"/>
          <w:color w:val="C00000"/>
          <w:kern w:val="0"/>
          <w:sz w:val="28"/>
          <w:szCs w:val="28"/>
          <w:highlight w:val="yellow"/>
          <w:lang w:val="en-IN"/>
          <w14:ligatures w14:val="none"/>
        </w:rPr>
        <w:t xml:space="preserve"> </w:t>
      </w:r>
    </w:p>
    <w:p w14:paraId="634310B3" w14:textId="77777777" w:rsidR="007626F3" w:rsidRDefault="007626F3" w:rsidP="007626F3">
      <w:pPr>
        <w:rPr>
          <w:lang w:val="en-IN"/>
        </w:rPr>
      </w:pPr>
    </w:p>
    <w:p w14:paraId="4FFA1276" w14:textId="77777777" w:rsidR="007626F3" w:rsidRPr="007626F3" w:rsidRDefault="007626F3" w:rsidP="007626F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</w:pPr>
      <w:r w:rsidRPr="007626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Unit 1: Overview of Alternative Investments</w:t>
      </w:r>
    </w:p>
    <w:p w14:paraId="567616E6" w14:textId="7C1168C3" w:rsidR="007626F3" w:rsidRPr="007626F3" w:rsidRDefault="007626F3" w:rsidP="007626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7626F3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Gain insights into alternative investment avenues, their historical evolution, role in portfolio management, and distinguishing characteristics like ‘alpha’ and ‘beta.’</w:t>
      </w:r>
    </w:p>
    <w:p w14:paraId="0B59582A" w14:textId="77777777" w:rsidR="007626F3" w:rsidRPr="007626F3" w:rsidRDefault="007626F3" w:rsidP="007626F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</w:pPr>
      <w:r w:rsidRPr="007626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Unit 2: Alternative Investment Funds in India</w:t>
      </w:r>
    </w:p>
    <w:p w14:paraId="4A1AD962" w14:textId="167C5522" w:rsidR="007626F3" w:rsidRPr="007626F3" w:rsidRDefault="007626F3" w:rsidP="007626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7626F3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lastRenderedPageBreak/>
        <w:t>Understand the growth and development of AIFs in India, post-2008 trends, categories of AIFs, suitability of AIF products, and the current market landscape.</w:t>
      </w:r>
    </w:p>
    <w:p w14:paraId="03125873" w14:textId="77777777" w:rsidR="007626F3" w:rsidRPr="007626F3" w:rsidRDefault="007626F3" w:rsidP="007626F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</w:pPr>
      <w:r w:rsidRPr="007626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Unit 3: Concepts in the AIF Industry</w:t>
      </w:r>
    </w:p>
    <w:p w14:paraId="0448095A" w14:textId="7623217D" w:rsidR="007626F3" w:rsidRPr="007626F3" w:rsidRDefault="007626F3" w:rsidP="007626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7626F3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Explore critical concepts such as the private capital ecosystem, sponsor and capital commitments, due diligence, co-investments, ESG principles, and key financial metrics like preferred returns and waterfall distributions.</w:t>
      </w:r>
    </w:p>
    <w:p w14:paraId="5A9B6296" w14:textId="77777777" w:rsidR="007626F3" w:rsidRPr="007626F3" w:rsidRDefault="007626F3" w:rsidP="007626F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</w:pPr>
      <w:r w:rsidRPr="007626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Unit 4: AIF Regulatory Framework</w:t>
      </w:r>
    </w:p>
    <w:p w14:paraId="3302738A" w14:textId="4C94CFE7" w:rsidR="007626F3" w:rsidRPr="007626F3" w:rsidRDefault="007626F3" w:rsidP="007626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7626F3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Develop knowledge of the SEBI (Alternative Investment Funds) Regulations, 2012, and relevant provisions of the Foreign Exchange Management Act (FEMA), 1999, impacting AIF operations.</w:t>
      </w:r>
    </w:p>
    <w:p w14:paraId="0017332D" w14:textId="77777777" w:rsidR="007626F3" w:rsidRPr="007626F3" w:rsidRDefault="007626F3" w:rsidP="007626F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</w:pPr>
      <w:r w:rsidRPr="007626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Unit 5: Alternative Investment Fund Structuring</w:t>
      </w:r>
    </w:p>
    <w:p w14:paraId="1513081D" w14:textId="77777777" w:rsidR="007626F3" w:rsidRPr="007626F3" w:rsidRDefault="007626F3" w:rsidP="007626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7626F3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Understand the principle of pooling, structural considerations for AIFs, and templates for fund constitution and governance.</w:t>
      </w:r>
    </w:p>
    <w:p w14:paraId="07F720E6" w14:textId="77777777" w:rsidR="007626F3" w:rsidRPr="007626F3" w:rsidRDefault="007626F3" w:rsidP="007626F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</w:pPr>
      <w:r w:rsidRPr="007626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Unit 6: Risk and Return – Fund and Investor Perspective</w:t>
      </w:r>
    </w:p>
    <w:p w14:paraId="0C9AD9D0" w14:textId="3ADAAAF4" w:rsidR="007626F3" w:rsidRPr="007626F3" w:rsidRDefault="007626F3" w:rsidP="007626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7626F3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Analyze the nature and types of debt and equity investments, investor risks in AIFs, and key metrics for measuring returns, including the J curve and worked-out scenarios.</w:t>
      </w:r>
    </w:p>
    <w:p w14:paraId="2BA2AE32" w14:textId="77777777" w:rsidR="007626F3" w:rsidRPr="007626F3" w:rsidRDefault="007626F3" w:rsidP="007626F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</w:pPr>
      <w:r w:rsidRPr="007626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Unit 7: Investment Process and Governance of Funds</w:t>
      </w:r>
    </w:p>
    <w:p w14:paraId="23810741" w14:textId="3FB51EAC" w:rsidR="007626F3" w:rsidRPr="007626F3" w:rsidRDefault="007626F3" w:rsidP="007626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7626F3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Learn about deal sourcing, due diligence reviews, definitive agreements, co-investments, governance structures, and investor protection mechanisms in AIFs.</w:t>
      </w:r>
    </w:p>
    <w:p w14:paraId="28001FFB" w14:textId="77777777" w:rsidR="007626F3" w:rsidRPr="007626F3" w:rsidRDefault="007626F3" w:rsidP="007626F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</w:pPr>
      <w:r w:rsidRPr="007626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Unit 8: Fund Due Diligence – Investor Perspective</w:t>
      </w:r>
    </w:p>
    <w:p w14:paraId="18D79790" w14:textId="24B4420E" w:rsidR="007626F3" w:rsidRPr="007626F3" w:rsidRDefault="007626F3" w:rsidP="007626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7626F3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Examine fund selection processes, manager evaluation, due diligence strategies, and sales approaches for distributors.</w:t>
      </w:r>
    </w:p>
    <w:p w14:paraId="21DE312D" w14:textId="77777777" w:rsidR="007626F3" w:rsidRPr="007626F3" w:rsidRDefault="007626F3" w:rsidP="007626F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</w:pPr>
      <w:r w:rsidRPr="007626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Unit 9: Legal Documentation and Negotiation – Investor Perspective</w:t>
      </w:r>
    </w:p>
    <w:p w14:paraId="08726A7D" w14:textId="63C066AB" w:rsidR="007626F3" w:rsidRPr="007626F3" w:rsidRDefault="007626F3" w:rsidP="007626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7626F3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Understand the significance of key legal documents such as trust deeds, partnership agreements, private placement memorandums, and subscription agreements, along with negotiation strategies.</w:t>
      </w:r>
    </w:p>
    <w:p w14:paraId="286BE07A" w14:textId="77777777" w:rsidR="007626F3" w:rsidRPr="007626F3" w:rsidRDefault="007626F3" w:rsidP="007626F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</w:pPr>
      <w:r w:rsidRPr="007626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Unit 10: Fund Monitoring, Reporting, and Exit</w:t>
      </w:r>
    </w:p>
    <w:p w14:paraId="158CB00D" w14:textId="3622D44F" w:rsidR="007626F3" w:rsidRPr="007626F3" w:rsidRDefault="007626F3" w:rsidP="007626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7626F3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Master techniques for monitoring fund performance, regulatory reporting, addressing conflicts, secondary market exits, and portfolio company divestitures.</w:t>
      </w:r>
    </w:p>
    <w:p w14:paraId="514AABA1" w14:textId="77777777" w:rsidR="007626F3" w:rsidRPr="007626F3" w:rsidRDefault="007626F3" w:rsidP="007626F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</w:pPr>
      <w:r w:rsidRPr="007626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Unit 11: Valuation</w:t>
      </w:r>
    </w:p>
    <w:p w14:paraId="7BFF6EA5" w14:textId="4E6A6C0F" w:rsidR="007626F3" w:rsidRPr="007626F3" w:rsidRDefault="007626F3" w:rsidP="007626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7626F3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lastRenderedPageBreak/>
        <w:t>Explore valuation basics for fixed income, equity, and businesses, including methods like discounted cash flow, asset-based, and multiple-based valuations, alongside regulatory considerations and the role of valuers.</w:t>
      </w:r>
    </w:p>
    <w:p w14:paraId="11449C97" w14:textId="77777777" w:rsidR="007626F3" w:rsidRPr="007626F3" w:rsidRDefault="007626F3" w:rsidP="007626F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</w:pPr>
      <w:r w:rsidRPr="007626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Unit 12: Taxation – India Specific</w:t>
      </w:r>
    </w:p>
    <w:p w14:paraId="51A4F534" w14:textId="3E83E95C" w:rsidR="007626F3" w:rsidRPr="007626F3" w:rsidRDefault="007626F3" w:rsidP="007626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7626F3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Understand the taxation framework for AIFs, including business and investment income taxation, GST, and local taxes, with specific emphasis on residents and non-residents in India.</w:t>
      </w:r>
    </w:p>
    <w:p w14:paraId="405FA32F" w14:textId="77777777" w:rsidR="007626F3" w:rsidRPr="007626F3" w:rsidRDefault="007626F3" w:rsidP="007626F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</w:pPr>
      <w:r w:rsidRPr="007626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Unit 13: Good Practices</w:t>
      </w:r>
    </w:p>
    <w:p w14:paraId="30040D01" w14:textId="77777777" w:rsidR="007626F3" w:rsidRPr="007626F3" w:rsidRDefault="007626F3" w:rsidP="007626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7626F3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Learn best practices for AIF distributors, including distributor agreements, pre- and post-distribution services, preparation of distribution pitches, and ethical considerations for client interactions.</w:t>
      </w:r>
    </w:p>
    <w:sectPr w:rsidR="007626F3" w:rsidRPr="007626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CDEE4D" w14:textId="77777777" w:rsidR="00EF20DB" w:rsidRDefault="00EF20DB" w:rsidP="004F1E80">
      <w:pPr>
        <w:spacing w:after="0" w:line="240" w:lineRule="auto"/>
      </w:pPr>
      <w:r>
        <w:separator/>
      </w:r>
    </w:p>
  </w:endnote>
  <w:endnote w:type="continuationSeparator" w:id="0">
    <w:p w14:paraId="595BD87F" w14:textId="77777777" w:rsidR="00EF20DB" w:rsidRDefault="00EF20DB" w:rsidP="004F1E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57C35F" w14:textId="77777777" w:rsidR="00EF20DB" w:rsidRDefault="00EF20DB" w:rsidP="004F1E80">
      <w:pPr>
        <w:spacing w:after="0" w:line="240" w:lineRule="auto"/>
      </w:pPr>
      <w:r>
        <w:separator/>
      </w:r>
    </w:p>
  </w:footnote>
  <w:footnote w:type="continuationSeparator" w:id="0">
    <w:p w14:paraId="486B2604" w14:textId="77777777" w:rsidR="00EF20DB" w:rsidRDefault="00EF20DB" w:rsidP="004F1E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F3D6B"/>
    <w:multiLevelType w:val="hybridMultilevel"/>
    <w:tmpl w:val="E7AA048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B00DD7"/>
    <w:multiLevelType w:val="multilevel"/>
    <w:tmpl w:val="4B961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545705"/>
    <w:multiLevelType w:val="hybridMultilevel"/>
    <w:tmpl w:val="3EC2E5F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AE6523D"/>
    <w:multiLevelType w:val="hybridMultilevel"/>
    <w:tmpl w:val="5680E9C6"/>
    <w:lvl w:ilvl="0" w:tplc="2B32A15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BD06AED"/>
    <w:multiLevelType w:val="multilevel"/>
    <w:tmpl w:val="85082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F6C238D"/>
    <w:multiLevelType w:val="hybridMultilevel"/>
    <w:tmpl w:val="9B86EEB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0E176C"/>
    <w:multiLevelType w:val="hybridMultilevel"/>
    <w:tmpl w:val="76065554"/>
    <w:lvl w:ilvl="0" w:tplc="40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 w15:restartNumberingAfterBreak="0">
    <w:nsid w:val="273B299C"/>
    <w:multiLevelType w:val="hybridMultilevel"/>
    <w:tmpl w:val="EE7CC64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1405BC6"/>
    <w:multiLevelType w:val="multilevel"/>
    <w:tmpl w:val="14266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9926180"/>
    <w:multiLevelType w:val="multilevel"/>
    <w:tmpl w:val="57142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EB031E9"/>
    <w:multiLevelType w:val="multilevel"/>
    <w:tmpl w:val="C6A4F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1CD0302"/>
    <w:multiLevelType w:val="hybridMultilevel"/>
    <w:tmpl w:val="153C212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223638"/>
    <w:multiLevelType w:val="hybridMultilevel"/>
    <w:tmpl w:val="6DBE982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193E40"/>
    <w:multiLevelType w:val="multilevel"/>
    <w:tmpl w:val="D07A9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57070803">
    <w:abstractNumId w:val="4"/>
  </w:num>
  <w:num w:numId="2" w16cid:durableId="2009938918">
    <w:abstractNumId w:val="5"/>
  </w:num>
  <w:num w:numId="3" w16cid:durableId="979194476">
    <w:abstractNumId w:val="3"/>
  </w:num>
  <w:num w:numId="4" w16cid:durableId="1007709590">
    <w:abstractNumId w:val="8"/>
  </w:num>
  <w:num w:numId="5" w16cid:durableId="1379741142">
    <w:abstractNumId w:val="12"/>
  </w:num>
  <w:num w:numId="6" w16cid:durableId="687563034">
    <w:abstractNumId w:val="6"/>
  </w:num>
  <w:num w:numId="7" w16cid:durableId="1504707138">
    <w:abstractNumId w:val="11"/>
  </w:num>
  <w:num w:numId="8" w16cid:durableId="1957833829">
    <w:abstractNumId w:val="10"/>
  </w:num>
  <w:num w:numId="9" w16cid:durableId="558051095">
    <w:abstractNumId w:val="1"/>
  </w:num>
  <w:num w:numId="10" w16cid:durableId="1164398988">
    <w:abstractNumId w:val="2"/>
  </w:num>
  <w:num w:numId="11" w16cid:durableId="1544831791">
    <w:abstractNumId w:val="7"/>
  </w:num>
  <w:num w:numId="12" w16cid:durableId="284584755">
    <w:abstractNumId w:val="9"/>
  </w:num>
  <w:num w:numId="13" w16cid:durableId="1448815251">
    <w:abstractNumId w:val="13"/>
  </w:num>
  <w:num w:numId="14" w16cid:durableId="1011031855">
    <w:abstractNumId w:val="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2F46"/>
    <w:rsid w:val="0000363E"/>
    <w:rsid w:val="00050127"/>
    <w:rsid w:val="00060610"/>
    <w:rsid w:val="00073779"/>
    <w:rsid w:val="000751F7"/>
    <w:rsid w:val="000824AD"/>
    <w:rsid w:val="000B6793"/>
    <w:rsid w:val="00120F23"/>
    <w:rsid w:val="00127EE4"/>
    <w:rsid w:val="00162AE5"/>
    <w:rsid w:val="00190D01"/>
    <w:rsid w:val="00192D03"/>
    <w:rsid w:val="001A0639"/>
    <w:rsid w:val="001B3020"/>
    <w:rsid w:val="001C1E4A"/>
    <w:rsid w:val="001D5D82"/>
    <w:rsid w:val="001E1391"/>
    <w:rsid w:val="001F081D"/>
    <w:rsid w:val="0021611C"/>
    <w:rsid w:val="00225A50"/>
    <w:rsid w:val="002B21CD"/>
    <w:rsid w:val="002C1BC1"/>
    <w:rsid w:val="002D51AA"/>
    <w:rsid w:val="002E76BF"/>
    <w:rsid w:val="003119E9"/>
    <w:rsid w:val="00371882"/>
    <w:rsid w:val="003B531D"/>
    <w:rsid w:val="003D7BA1"/>
    <w:rsid w:val="003E2ED2"/>
    <w:rsid w:val="00412F46"/>
    <w:rsid w:val="004359B8"/>
    <w:rsid w:val="00452F90"/>
    <w:rsid w:val="00464B6C"/>
    <w:rsid w:val="004E41B2"/>
    <w:rsid w:val="004F1E80"/>
    <w:rsid w:val="004F610A"/>
    <w:rsid w:val="00503FDD"/>
    <w:rsid w:val="005952BC"/>
    <w:rsid w:val="00595372"/>
    <w:rsid w:val="005B6CB2"/>
    <w:rsid w:val="005B7B54"/>
    <w:rsid w:val="005E14B9"/>
    <w:rsid w:val="005F5646"/>
    <w:rsid w:val="00631775"/>
    <w:rsid w:val="00631A8B"/>
    <w:rsid w:val="00667867"/>
    <w:rsid w:val="00673F05"/>
    <w:rsid w:val="0068059D"/>
    <w:rsid w:val="006A414D"/>
    <w:rsid w:val="006C1854"/>
    <w:rsid w:val="006F7ED7"/>
    <w:rsid w:val="00710C01"/>
    <w:rsid w:val="00743B1B"/>
    <w:rsid w:val="007626F3"/>
    <w:rsid w:val="007A43A6"/>
    <w:rsid w:val="007E4E1F"/>
    <w:rsid w:val="00813114"/>
    <w:rsid w:val="0081708D"/>
    <w:rsid w:val="0082774E"/>
    <w:rsid w:val="0085296F"/>
    <w:rsid w:val="008C78CE"/>
    <w:rsid w:val="008D49E3"/>
    <w:rsid w:val="008F1B8D"/>
    <w:rsid w:val="00914CA2"/>
    <w:rsid w:val="0092739B"/>
    <w:rsid w:val="009447EA"/>
    <w:rsid w:val="00955744"/>
    <w:rsid w:val="009647D1"/>
    <w:rsid w:val="00974DF8"/>
    <w:rsid w:val="00984011"/>
    <w:rsid w:val="009D0594"/>
    <w:rsid w:val="00A65545"/>
    <w:rsid w:val="00A66781"/>
    <w:rsid w:val="00A66B9F"/>
    <w:rsid w:val="00A81CA1"/>
    <w:rsid w:val="00A8716D"/>
    <w:rsid w:val="00AB3522"/>
    <w:rsid w:val="00AB4F7E"/>
    <w:rsid w:val="00AC0441"/>
    <w:rsid w:val="00B32F0B"/>
    <w:rsid w:val="00B436C0"/>
    <w:rsid w:val="00B4422D"/>
    <w:rsid w:val="00B47DAC"/>
    <w:rsid w:val="00B73501"/>
    <w:rsid w:val="00B96890"/>
    <w:rsid w:val="00BA68F1"/>
    <w:rsid w:val="00BB288C"/>
    <w:rsid w:val="00BC5C83"/>
    <w:rsid w:val="00BD08E2"/>
    <w:rsid w:val="00BF64A3"/>
    <w:rsid w:val="00C2523D"/>
    <w:rsid w:val="00C45F50"/>
    <w:rsid w:val="00C7442A"/>
    <w:rsid w:val="00C82FBB"/>
    <w:rsid w:val="00CA1601"/>
    <w:rsid w:val="00CD773D"/>
    <w:rsid w:val="00D13A6D"/>
    <w:rsid w:val="00D52E4F"/>
    <w:rsid w:val="00D73EB5"/>
    <w:rsid w:val="00D75C62"/>
    <w:rsid w:val="00D8445C"/>
    <w:rsid w:val="00E01400"/>
    <w:rsid w:val="00E259DC"/>
    <w:rsid w:val="00E3438F"/>
    <w:rsid w:val="00E71D27"/>
    <w:rsid w:val="00E76340"/>
    <w:rsid w:val="00E80594"/>
    <w:rsid w:val="00E84930"/>
    <w:rsid w:val="00E90F8B"/>
    <w:rsid w:val="00EB7B4F"/>
    <w:rsid w:val="00EE1D61"/>
    <w:rsid w:val="00EF20DB"/>
    <w:rsid w:val="00F034CD"/>
    <w:rsid w:val="00F26788"/>
    <w:rsid w:val="00F30C87"/>
    <w:rsid w:val="00F326F3"/>
    <w:rsid w:val="00F347B4"/>
    <w:rsid w:val="00F60B21"/>
    <w:rsid w:val="00F663C3"/>
    <w:rsid w:val="00F71AEC"/>
    <w:rsid w:val="00F776AD"/>
    <w:rsid w:val="00FD6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A38041"/>
  <w15:docId w15:val="{FDA6C718-4F32-46E5-9D8C-1451B1E28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10C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IN" w:eastAsia="en-IN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73EB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422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1E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1E80"/>
  </w:style>
  <w:style w:type="paragraph" w:styleId="Footer">
    <w:name w:val="footer"/>
    <w:basedOn w:val="Normal"/>
    <w:link w:val="FooterChar"/>
    <w:uiPriority w:val="99"/>
    <w:unhideWhenUsed/>
    <w:rsid w:val="004F1E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1E80"/>
  </w:style>
  <w:style w:type="paragraph" w:styleId="NormalWeb">
    <w:name w:val="Normal (Web)"/>
    <w:basedOn w:val="Normal"/>
    <w:uiPriority w:val="99"/>
    <w:unhideWhenUsed/>
    <w:rsid w:val="004F1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4F1E80"/>
    <w:rPr>
      <w:b/>
      <w:bCs/>
    </w:rPr>
  </w:style>
  <w:style w:type="character" w:styleId="Hyperlink">
    <w:name w:val="Hyperlink"/>
    <w:basedOn w:val="DefaultParagraphFont"/>
    <w:uiPriority w:val="99"/>
    <w:unhideWhenUsed/>
    <w:rsid w:val="008D49E3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D49E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26788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10C01"/>
    <w:rPr>
      <w:rFonts w:ascii="Times New Roman" w:eastAsia="Times New Roman" w:hAnsi="Times New Roman" w:cs="Times New Roman"/>
      <w:b/>
      <w:bCs/>
      <w:kern w:val="36"/>
      <w:sz w:val="48"/>
      <w:szCs w:val="48"/>
      <w:lang w:val="en-IN" w:eastAsia="en-IN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D73EB5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08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081D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422D"/>
    <w:rPr>
      <w:rFonts w:asciiTheme="majorHAnsi" w:eastAsiaTheme="majorEastAsia" w:hAnsiTheme="majorHAnsi" w:cstheme="majorBidi"/>
      <w:b/>
      <w:bCs/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4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08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65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295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943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117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187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291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1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1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7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9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1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60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845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043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7234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97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05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83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206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60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880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288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071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2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8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4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4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1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2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2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7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3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2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8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05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5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07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51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716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148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988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0605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601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2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8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8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8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8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1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5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30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7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945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1912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19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8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8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9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66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4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54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62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819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453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686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0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44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07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715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459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042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919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533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9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5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49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6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0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094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273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5150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360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8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9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7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25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9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2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31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97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320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568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042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7584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385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1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9D8A0-9CC2-43D1-B3CC-AA7718C684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5</Pages>
  <Words>1068</Words>
  <Characters>6091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Amit Gupta MS Finance</dc:creator>
  <cp:lastModifiedBy>Amit Gupta MS Finance</cp:lastModifiedBy>
  <cp:revision>25</cp:revision>
  <dcterms:created xsi:type="dcterms:W3CDTF">2025-01-16T09:05:00Z</dcterms:created>
  <dcterms:modified xsi:type="dcterms:W3CDTF">2025-01-28T20:10:00Z</dcterms:modified>
</cp:coreProperties>
</file>